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02D7B" w14:textId="7329C409" w:rsidR="007B75DC" w:rsidRPr="00EF70BC" w:rsidRDefault="007B7E5B" w:rsidP="000215ED">
      <w:pPr>
        <w:jc w:val="center"/>
        <w:rPr>
          <w:rFonts w:ascii="Trebuchet MS" w:hAnsi="Trebuchet MS"/>
          <w:b/>
          <w:bCs/>
        </w:rPr>
      </w:pPr>
      <w:r>
        <w:rPr>
          <w:noProof/>
        </w:rPr>
        <mc:AlternateContent>
          <mc:Choice Requires="wps">
            <w:drawing>
              <wp:anchor distT="0" distB="0" distL="0" distR="0" simplePos="0" relativeHeight="251659264" behindDoc="0" locked="0" layoutInCell="1" allowOverlap="1" wp14:anchorId="639B6EFD" wp14:editId="6B81B4D9">
                <wp:simplePos x="0" y="0"/>
                <wp:positionH relativeFrom="page">
                  <wp:posOffset>249650</wp:posOffset>
                </wp:positionH>
                <wp:positionV relativeFrom="paragraph">
                  <wp:posOffset>5715</wp:posOffset>
                </wp:positionV>
                <wp:extent cx="241540" cy="2408111"/>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540" cy="2408111"/>
                        </a:xfrm>
                        <a:prstGeom prst="rect">
                          <a:avLst/>
                        </a:prstGeom>
                      </wps:spPr>
                      <wps:txbx>
                        <w:txbxContent>
                          <w:p w14:paraId="1022CB1D" w14:textId="34F9A6D6" w:rsidR="007B7E5B" w:rsidRDefault="007B7E5B" w:rsidP="007B7E5B">
                            <w:pPr>
                              <w:spacing w:before="13"/>
                              <w:ind w:left="20"/>
                              <w:jc w:val="center"/>
                              <w:rPr>
                                <w:rFonts w:ascii="Times New Roman" w:hAnsi="Times New Roman"/>
                                <w:sz w:val="16"/>
                              </w:rPr>
                            </w:pPr>
                            <w:r>
                              <w:rPr>
                                <w:rFonts w:ascii="Times New Roman" w:hAnsi="Times New Roman"/>
                                <w:w w:val="110"/>
                                <w:sz w:val="16"/>
                              </w:rPr>
                              <w:t>Copyright</w:t>
                            </w:r>
                            <w:r>
                              <w:rPr>
                                <w:rFonts w:ascii="Times New Roman" w:hAnsi="Times New Roman"/>
                                <w:spacing w:val="-4"/>
                                <w:w w:val="110"/>
                                <w:sz w:val="16"/>
                              </w:rPr>
                              <w:t xml:space="preserve"> </w:t>
                            </w:r>
                            <w:r>
                              <w:rPr>
                                <w:rFonts w:ascii="Times New Roman" w:hAnsi="Times New Roman"/>
                                <w:w w:val="110"/>
                                <w:sz w:val="16"/>
                              </w:rPr>
                              <w:t>©</w:t>
                            </w:r>
                            <w:r>
                              <w:rPr>
                                <w:rFonts w:ascii="Times New Roman" w:hAnsi="Times New Roman"/>
                                <w:spacing w:val="-1"/>
                                <w:w w:val="110"/>
                                <w:sz w:val="16"/>
                              </w:rPr>
                              <w:t xml:space="preserve"> </w:t>
                            </w:r>
                            <w:proofErr w:type="spellStart"/>
                            <w:r w:rsidRPr="007B7E5B">
                              <w:rPr>
                                <w:rFonts w:ascii="Times New Roman" w:hAnsi="Times New Roman"/>
                                <w:w w:val="110"/>
                                <w:sz w:val="16"/>
                              </w:rPr>
                              <w:t>Magdymar</w:t>
                            </w:r>
                            <w:proofErr w:type="spellEnd"/>
                            <w:r w:rsidRPr="007B7E5B">
                              <w:rPr>
                                <w:rFonts w:ascii="Times New Roman" w:hAnsi="Times New Roman"/>
                                <w:w w:val="110"/>
                                <w:sz w:val="16"/>
                              </w:rPr>
                              <w:t xml:space="preserve"> León Torrealba – AVESA  </w:t>
                            </w:r>
                            <w:r>
                              <w:rPr>
                                <w:rFonts w:ascii="Times New Roman" w:hAnsi="Times New Roman"/>
                                <w:spacing w:val="-4"/>
                                <w:w w:val="110"/>
                                <w:sz w:val="16"/>
                              </w:rPr>
                              <w:t>201</w:t>
                            </w:r>
                            <w:r>
                              <w:rPr>
                                <w:rFonts w:ascii="Times New Roman" w:hAnsi="Times New Roman"/>
                                <w:spacing w:val="-4"/>
                                <w:w w:val="110"/>
                                <w:sz w:val="16"/>
                              </w:rPr>
                              <w:t>5</w:t>
                            </w:r>
                          </w:p>
                        </w:txbxContent>
                      </wps:txbx>
                      <wps:bodyPr vert="vert270"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39B6EFD" id="_x0000_t202" coordsize="21600,21600" o:spt="202" path="m,l,21600r21600,l21600,xe">
                <v:stroke joinstyle="miter"/>
                <v:path gradientshapeok="t" o:connecttype="rect"/>
              </v:shapetype>
              <v:shape id="Textbox 7" o:spid="_x0000_s1026" type="#_x0000_t202" style="position:absolute;left:0;text-align:left;margin-left:19.65pt;margin-top:.45pt;width:19pt;height:189.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" filled="f" stroked="f">
                <v:textbox style="layout-flow:vertical;mso-layout-flow-alt:bottom-to-top" inset="0,0,0,0">
                  <w:txbxContent>
                    <w:p w14:paraId="1022CB1D" w14:textId="34F9A6D6" w:rsidR="007B7E5B" w:rsidRDefault="007B7E5B" w:rsidP="007B7E5B">
                      <w:pPr>
                        <w:spacing w:before="13"/>
                        <w:ind w:left="20"/>
                        <w:jc w:val="center"/>
                        <w:rPr>
                          <w:rFonts w:ascii="Times New Roman" w:hAnsi="Times New Roman"/>
                          <w:sz w:val="16"/>
                        </w:rPr>
                      </w:pPr>
                      <w:r>
                        <w:rPr>
                          <w:rFonts w:ascii="Times New Roman" w:hAnsi="Times New Roman"/>
                          <w:w w:val="110"/>
                          <w:sz w:val="16"/>
                        </w:rPr>
                        <w:t>Copyright</w:t>
                      </w:r>
                      <w:r>
                        <w:rPr>
                          <w:rFonts w:ascii="Times New Roman" w:hAnsi="Times New Roman"/>
                          <w:spacing w:val="-4"/>
                          <w:w w:val="110"/>
                          <w:sz w:val="16"/>
                        </w:rPr>
                        <w:t xml:space="preserve"> </w:t>
                      </w:r>
                      <w:r>
                        <w:rPr>
                          <w:rFonts w:ascii="Times New Roman" w:hAnsi="Times New Roman"/>
                          <w:w w:val="110"/>
                          <w:sz w:val="16"/>
                        </w:rPr>
                        <w:t>©</w:t>
                      </w:r>
                      <w:r>
                        <w:rPr>
                          <w:rFonts w:ascii="Times New Roman" w:hAnsi="Times New Roman"/>
                          <w:spacing w:val="-1"/>
                          <w:w w:val="110"/>
                          <w:sz w:val="16"/>
                        </w:rPr>
                        <w:t xml:space="preserve"> </w:t>
                      </w:r>
                      <w:proofErr w:type="spellStart"/>
                      <w:r w:rsidRPr="007B7E5B">
                        <w:rPr>
                          <w:rFonts w:ascii="Times New Roman" w:hAnsi="Times New Roman"/>
                          <w:w w:val="110"/>
                          <w:sz w:val="16"/>
                        </w:rPr>
                        <w:t>Magdymar</w:t>
                      </w:r>
                      <w:proofErr w:type="spellEnd"/>
                      <w:r w:rsidRPr="007B7E5B">
                        <w:rPr>
                          <w:rFonts w:ascii="Times New Roman" w:hAnsi="Times New Roman"/>
                          <w:w w:val="110"/>
                          <w:sz w:val="16"/>
                        </w:rPr>
                        <w:t xml:space="preserve"> León Torrealba – AVESA  </w:t>
                      </w:r>
                      <w:r>
                        <w:rPr>
                          <w:rFonts w:ascii="Times New Roman" w:hAnsi="Times New Roman"/>
                          <w:spacing w:val="-4"/>
                          <w:w w:val="110"/>
                          <w:sz w:val="16"/>
                        </w:rPr>
                        <w:t>201</w:t>
                      </w:r>
                      <w:r>
                        <w:rPr>
                          <w:rFonts w:ascii="Times New Roman" w:hAnsi="Times New Roman"/>
                          <w:spacing w:val="-4"/>
                          <w:w w:val="110"/>
                          <w:sz w:val="16"/>
                        </w:rPr>
                        <w:t>5</w:t>
                      </w:r>
                    </w:p>
                  </w:txbxContent>
                </v:textbox>
                <w10:wrap anchorx="page"/>
              </v:shape>
            </w:pict>
          </mc:Fallback>
        </mc:AlternateContent>
      </w:r>
      <w:r w:rsidR="000215ED" w:rsidRPr="00EF70BC">
        <w:rPr>
          <w:rFonts w:ascii="Trebuchet MS" w:hAnsi="Trebuchet MS"/>
          <w:b/>
          <w:bCs/>
        </w:rPr>
        <w:t>TIPS PARA INCORPORAR EL ENFOQUE DE GÉNERO</w:t>
      </w:r>
    </w:p>
    <w:p w14:paraId="2F329619" w14:textId="0AC2EDCF" w:rsidR="000215ED" w:rsidRPr="00EF70BC" w:rsidRDefault="000215ED" w:rsidP="000215ED">
      <w:pPr>
        <w:jc w:val="center"/>
        <w:rPr>
          <w:rFonts w:ascii="Trebuchet MS" w:hAnsi="Trebuchet MS"/>
          <w:b/>
          <w:bCs/>
        </w:rPr>
      </w:pPr>
    </w:p>
    <w:p w14:paraId="296B3DB4" w14:textId="77777777" w:rsidR="00EF70BC" w:rsidRPr="00EF70BC" w:rsidRDefault="00EF70BC" w:rsidP="00EF70BC">
      <w:pPr>
        <w:rPr>
          <w:rFonts w:ascii="Trebuchet MS" w:hAnsi="Trebuchet MS"/>
          <w:b/>
          <w:bCs/>
        </w:rPr>
      </w:pPr>
      <w:r w:rsidRPr="00EF70BC">
        <w:rPr>
          <w:rFonts w:ascii="Trebuchet MS" w:hAnsi="Trebuchet MS"/>
          <w:b/>
          <w:bCs/>
        </w:rPr>
        <w:t xml:space="preserve">Enfoque de género </w:t>
      </w:r>
    </w:p>
    <w:p w14:paraId="62997A0F" w14:textId="294B12FA" w:rsidR="00EF70BC" w:rsidRPr="00EF70BC" w:rsidRDefault="00EF70BC" w:rsidP="00F96D40">
      <w:pPr>
        <w:jc w:val="both"/>
        <w:rPr>
          <w:rFonts w:ascii="Trebuchet MS" w:hAnsi="Trebuchet MS"/>
        </w:rPr>
      </w:pPr>
      <w:r w:rsidRPr="00EF70BC">
        <w:rPr>
          <w:rFonts w:ascii="Trebuchet MS" w:hAnsi="Trebuchet MS"/>
        </w:rPr>
        <w:t xml:space="preserve">Una perspectiva o enfoque de género es aquel que tiene en cuenta las diferencias y desigualdades entre hombres y mujeres existentes en la realidad. </w:t>
      </w:r>
    </w:p>
    <w:p w14:paraId="68771250" w14:textId="3918679F" w:rsidR="00EF70BC" w:rsidRPr="00EF70BC" w:rsidRDefault="00EF70BC" w:rsidP="00F96D40">
      <w:pPr>
        <w:jc w:val="both"/>
        <w:rPr>
          <w:rFonts w:ascii="Trebuchet MS" w:hAnsi="Trebuchet MS"/>
        </w:rPr>
      </w:pPr>
      <w:r w:rsidRPr="00EF70BC">
        <w:rPr>
          <w:rFonts w:ascii="Trebuchet MS" w:hAnsi="Trebuchet MS"/>
        </w:rPr>
        <w:t xml:space="preserve">Visibiliza el modo en que el género puede afectar la vida y las oportunidades de las personas para resolver sus problemas y dificultades </w:t>
      </w:r>
    </w:p>
    <w:p w14:paraId="7FBD4435" w14:textId="1BC82271" w:rsidR="00EF70BC" w:rsidRPr="00EF70BC" w:rsidRDefault="00EF70BC" w:rsidP="00F96D40">
      <w:pPr>
        <w:jc w:val="both"/>
        <w:rPr>
          <w:rFonts w:ascii="Trebuchet MS" w:hAnsi="Trebuchet MS"/>
        </w:rPr>
      </w:pPr>
      <w:r w:rsidRPr="00EF70BC">
        <w:rPr>
          <w:rFonts w:ascii="Trebuchet MS" w:hAnsi="Trebuchet MS"/>
        </w:rPr>
        <w:t xml:space="preserve">El enfoque de género implica, por tanto, una nueva mirada sobre la realidad, más amplia y completa.  </w:t>
      </w:r>
    </w:p>
    <w:p w14:paraId="3765971B" w14:textId="0B04CE1E" w:rsidR="000215ED" w:rsidRDefault="00EF70BC" w:rsidP="00F96D40">
      <w:pPr>
        <w:jc w:val="both"/>
        <w:rPr>
          <w:rFonts w:ascii="Trebuchet MS" w:hAnsi="Trebuchet MS"/>
        </w:rPr>
      </w:pPr>
      <w:r w:rsidRPr="00EF70BC">
        <w:rPr>
          <w:rFonts w:ascii="Trebuchet MS" w:hAnsi="Trebuchet MS"/>
        </w:rPr>
        <w:t xml:space="preserve"> En este sentido comporta un proceso de aprendizaje y enriquecimiento: nos permite una mayor sensibilidad social, cualidad imprescindible de la intervención social.</w:t>
      </w:r>
    </w:p>
    <w:p w14:paraId="7EFCC129" w14:textId="0134D240" w:rsidR="00A2443E" w:rsidRDefault="00A2443E" w:rsidP="00F96D40">
      <w:pPr>
        <w:jc w:val="both"/>
        <w:rPr>
          <w:rFonts w:ascii="Trebuchet MS" w:hAnsi="Trebuchet MS"/>
        </w:rPr>
      </w:pPr>
      <w:r>
        <w:rPr>
          <w:rFonts w:ascii="Trebuchet MS" w:hAnsi="Trebuchet MS"/>
        </w:rPr>
        <w:t xml:space="preserve">Dentro de este contexto, a continuación, tendrás una lista de chequeo que te permitirá identificar si estás adoptando la equidad de género en tu organización. </w:t>
      </w:r>
    </w:p>
    <w:p w14:paraId="5119A801" w14:textId="77777777" w:rsidR="009120F2" w:rsidRDefault="009120F2" w:rsidP="00EF70BC">
      <w:pPr>
        <w:rPr>
          <w:rFonts w:ascii="Trebuchet MS" w:hAnsi="Trebuchet MS"/>
        </w:rPr>
      </w:pPr>
    </w:p>
    <w:tbl>
      <w:tblPr>
        <w:tblStyle w:val="Tablaconcuadrcula"/>
        <w:tblW w:w="0" w:type="auto"/>
        <w:tblLook w:val="04A0" w:firstRow="1" w:lastRow="0" w:firstColumn="1" w:lastColumn="0" w:noHBand="0" w:noVBand="1"/>
      </w:tblPr>
      <w:tblGrid>
        <w:gridCol w:w="3681"/>
        <w:gridCol w:w="1134"/>
        <w:gridCol w:w="1134"/>
        <w:gridCol w:w="2879"/>
      </w:tblGrid>
      <w:tr w:rsidR="009120F2" w:rsidRPr="009120F2" w14:paraId="5A7FB600" w14:textId="77777777" w:rsidTr="00A2443E">
        <w:tc>
          <w:tcPr>
            <w:tcW w:w="3681" w:type="dxa"/>
            <w:vMerge w:val="restart"/>
            <w:shd w:val="clear" w:color="auto" w:fill="000000" w:themeFill="text1"/>
            <w:vAlign w:val="center"/>
          </w:tcPr>
          <w:p w14:paraId="7EC149CF" w14:textId="6017FA44" w:rsidR="009120F2" w:rsidRPr="009120F2" w:rsidRDefault="009120F2" w:rsidP="00F96D40">
            <w:pPr>
              <w:jc w:val="center"/>
              <w:rPr>
                <w:rFonts w:ascii="Trebuchet MS" w:hAnsi="Trebuchet MS"/>
                <w:b/>
                <w:bCs/>
                <w:sz w:val="20"/>
                <w:szCs w:val="20"/>
              </w:rPr>
            </w:pPr>
            <w:r w:rsidRPr="009120F2">
              <w:rPr>
                <w:rFonts w:ascii="Trebuchet MS" w:hAnsi="Trebuchet MS"/>
                <w:b/>
                <w:bCs/>
                <w:sz w:val="20"/>
                <w:szCs w:val="20"/>
              </w:rPr>
              <w:t>Pregunta</w:t>
            </w:r>
          </w:p>
        </w:tc>
        <w:tc>
          <w:tcPr>
            <w:tcW w:w="2268" w:type="dxa"/>
            <w:gridSpan w:val="2"/>
            <w:shd w:val="clear" w:color="auto" w:fill="000000" w:themeFill="text1"/>
            <w:vAlign w:val="center"/>
          </w:tcPr>
          <w:p w14:paraId="3F2220E5" w14:textId="5746311B" w:rsidR="009120F2" w:rsidRPr="009120F2" w:rsidRDefault="009120F2" w:rsidP="00F96D40">
            <w:pPr>
              <w:jc w:val="center"/>
              <w:rPr>
                <w:rFonts w:ascii="Trebuchet MS" w:hAnsi="Trebuchet MS"/>
                <w:b/>
                <w:bCs/>
                <w:sz w:val="20"/>
                <w:szCs w:val="20"/>
              </w:rPr>
            </w:pPr>
            <w:r w:rsidRPr="009120F2">
              <w:rPr>
                <w:rFonts w:ascii="Trebuchet MS" w:hAnsi="Trebuchet MS"/>
                <w:b/>
                <w:bCs/>
                <w:sz w:val="20"/>
                <w:szCs w:val="20"/>
              </w:rPr>
              <w:t>Respuestas</w:t>
            </w:r>
          </w:p>
        </w:tc>
        <w:tc>
          <w:tcPr>
            <w:tcW w:w="2879" w:type="dxa"/>
            <w:vMerge w:val="restart"/>
            <w:shd w:val="clear" w:color="auto" w:fill="000000" w:themeFill="text1"/>
            <w:vAlign w:val="center"/>
          </w:tcPr>
          <w:p w14:paraId="2FE760F7" w14:textId="628FBBBD" w:rsidR="009120F2" w:rsidRPr="009120F2" w:rsidRDefault="009120F2" w:rsidP="00F96D40">
            <w:pPr>
              <w:jc w:val="center"/>
              <w:rPr>
                <w:rFonts w:ascii="Trebuchet MS" w:hAnsi="Trebuchet MS"/>
                <w:b/>
                <w:bCs/>
                <w:sz w:val="20"/>
                <w:szCs w:val="20"/>
              </w:rPr>
            </w:pPr>
            <w:r w:rsidRPr="009120F2">
              <w:rPr>
                <w:rFonts w:ascii="Trebuchet MS" w:hAnsi="Trebuchet MS"/>
                <w:b/>
                <w:bCs/>
                <w:sz w:val="20"/>
                <w:szCs w:val="20"/>
              </w:rPr>
              <w:t>Alternativa</w:t>
            </w:r>
          </w:p>
        </w:tc>
      </w:tr>
      <w:tr w:rsidR="009120F2" w:rsidRPr="009120F2" w14:paraId="75AED8B2" w14:textId="77777777" w:rsidTr="00A2443E">
        <w:tc>
          <w:tcPr>
            <w:tcW w:w="3681" w:type="dxa"/>
            <w:vMerge/>
            <w:vAlign w:val="center"/>
          </w:tcPr>
          <w:p w14:paraId="707608C5" w14:textId="77777777" w:rsidR="009120F2" w:rsidRPr="009120F2" w:rsidRDefault="009120F2" w:rsidP="00F96D40">
            <w:pPr>
              <w:jc w:val="center"/>
              <w:rPr>
                <w:rFonts w:ascii="Trebuchet MS" w:hAnsi="Trebuchet MS"/>
                <w:sz w:val="20"/>
                <w:szCs w:val="20"/>
              </w:rPr>
            </w:pPr>
          </w:p>
        </w:tc>
        <w:tc>
          <w:tcPr>
            <w:tcW w:w="1134" w:type="dxa"/>
            <w:shd w:val="clear" w:color="auto" w:fill="000000" w:themeFill="text1"/>
            <w:vAlign w:val="center"/>
          </w:tcPr>
          <w:p w14:paraId="7B3B678C" w14:textId="7C2CFB8F" w:rsidR="009120F2" w:rsidRPr="009120F2" w:rsidRDefault="009120F2" w:rsidP="00F96D40">
            <w:pPr>
              <w:jc w:val="center"/>
              <w:rPr>
                <w:rFonts w:ascii="Trebuchet MS" w:hAnsi="Trebuchet MS"/>
                <w:sz w:val="20"/>
                <w:szCs w:val="20"/>
              </w:rPr>
            </w:pPr>
            <w:r w:rsidRPr="009120F2">
              <w:rPr>
                <w:rFonts w:ascii="Trebuchet MS" w:hAnsi="Trebuchet MS"/>
                <w:sz w:val="20"/>
                <w:szCs w:val="20"/>
              </w:rPr>
              <w:t>Sí</w:t>
            </w:r>
          </w:p>
        </w:tc>
        <w:tc>
          <w:tcPr>
            <w:tcW w:w="1134" w:type="dxa"/>
            <w:shd w:val="clear" w:color="auto" w:fill="000000" w:themeFill="text1"/>
            <w:vAlign w:val="center"/>
          </w:tcPr>
          <w:p w14:paraId="1E376C81" w14:textId="64BBA34B" w:rsidR="009120F2" w:rsidRPr="009120F2" w:rsidRDefault="009120F2" w:rsidP="00F96D40">
            <w:pPr>
              <w:jc w:val="center"/>
              <w:rPr>
                <w:rFonts w:ascii="Trebuchet MS" w:hAnsi="Trebuchet MS"/>
                <w:sz w:val="20"/>
                <w:szCs w:val="20"/>
              </w:rPr>
            </w:pPr>
            <w:r w:rsidRPr="009120F2">
              <w:rPr>
                <w:rFonts w:ascii="Trebuchet MS" w:hAnsi="Trebuchet MS"/>
                <w:sz w:val="20"/>
                <w:szCs w:val="20"/>
              </w:rPr>
              <w:t>No</w:t>
            </w:r>
          </w:p>
        </w:tc>
        <w:tc>
          <w:tcPr>
            <w:tcW w:w="2879" w:type="dxa"/>
            <w:vMerge/>
            <w:vAlign w:val="center"/>
          </w:tcPr>
          <w:p w14:paraId="31005AF9" w14:textId="1B54C5DD" w:rsidR="009120F2" w:rsidRPr="009120F2" w:rsidRDefault="009120F2" w:rsidP="00A2443E">
            <w:pPr>
              <w:jc w:val="both"/>
              <w:rPr>
                <w:rFonts w:ascii="Trebuchet MS" w:hAnsi="Trebuchet MS"/>
                <w:sz w:val="20"/>
                <w:szCs w:val="20"/>
              </w:rPr>
            </w:pPr>
          </w:p>
        </w:tc>
      </w:tr>
      <w:tr w:rsidR="009120F2" w:rsidRPr="009120F2" w14:paraId="7C9D2ED0" w14:textId="77777777" w:rsidTr="00A2443E">
        <w:tc>
          <w:tcPr>
            <w:tcW w:w="3681" w:type="dxa"/>
            <w:vAlign w:val="center"/>
          </w:tcPr>
          <w:p w14:paraId="4FBC277D" w14:textId="5CC9840C" w:rsidR="009120F2" w:rsidRPr="009120F2" w:rsidRDefault="009120F2" w:rsidP="00A2443E">
            <w:pPr>
              <w:jc w:val="both"/>
              <w:rPr>
                <w:rFonts w:ascii="Trebuchet MS" w:hAnsi="Trebuchet MS"/>
                <w:sz w:val="20"/>
                <w:szCs w:val="20"/>
              </w:rPr>
            </w:pPr>
            <w:r w:rsidRPr="009120F2">
              <w:rPr>
                <w:rFonts w:ascii="Trebuchet MS" w:hAnsi="Trebuchet MS"/>
                <w:sz w:val="20"/>
                <w:szCs w:val="20"/>
              </w:rPr>
              <w:t>¿La empresa tiene una política explícita contra la discriminación de género en el lugar de trabajo?</w:t>
            </w:r>
          </w:p>
        </w:tc>
        <w:tc>
          <w:tcPr>
            <w:tcW w:w="1134" w:type="dxa"/>
            <w:vAlign w:val="center"/>
          </w:tcPr>
          <w:p w14:paraId="0043C5F3" w14:textId="2ED2AF69" w:rsidR="009120F2" w:rsidRPr="009120F2" w:rsidRDefault="009120F2" w:rsidP="00A2443E">
            <w:pPr>
              <w:jc w:val="both"/>
              <w:rPr>
                <w:rFonts w:ascii="Trebuchet MS" w:hAnsi="Trebuchet MS"/>
                <w:sz w:val="20"/>
                <w:szCs w:val="20"/>
              </w:rPr>
            </w:pPr>
          </w:p>
        </w:tc>
        <w:tc>
          <w:tcPr>
            <w:tcW w:w="1134" w:type="dxa"/>
            <w:vAlign w:val="center"/>
          </w:tcPr>
          <w:p w14:paraId="7179D4C3" w14:textId="77777777" w:rsidR="009120F2" w:rsidRPr="009120F2" w:rsidRDefault="009120F2" w:rsidP="00A2443E">
            <w:pPr>
              <w:jc w:val="both"/>
              <w:rPr>
                <w:rFonts w:ascii="Trebuchet MS" w:hAnsi="Trebuchet MS"/>
                <w:sz w:val="20"/>
                <w:szCs w:val="20"/>
              </w:rPr>
            </w:pPr>
          </w:p>
        </w:tc>
        <w:tc>
          <w:tcPr>
            <w:tcW w:w="2879" w:type="dxa"/>
            <w:vAlign w:val="center"/>
          </w:tcPr>
          <w:p w14:paraId="430D9F18" w14:textId="06DA4A05" w:rsidR="009120F2" w:rsidRPr="009120F2" w:rsidRDefault="009120F2" w:rsidP="00A2443E">
            <w:pPr>
              <w:jc w:val="both"/>
              <w:rPr>
                <w:rFonts w:ascii="Trebuchet MS" w:hAnsi="Trebuchet MS"/>
                <w:sz w:val="20"/>
                <w:szCs w:val="20"/>
              </w:rPr>
            </w:pPr>
            <w:r w:rsidRPr="009120F2">
              <w:rPr>
                <w:rFonts w:ascii="Trebuchet MS" w:hAnsi="Trebuchet MS"/>
                <w:sz w:val="20"/>
                <w:szCs w:val="20"/>
              </w:rPr>
              <w:t>Implementar una política clara y explícita que prohíba cualquier forma de discriminación de género en el lugar de trabajo. Esto incluye la creación de procedimientos para denunciar y abordar casos de discriminación de género.</w:t>
            </w:r>
          </w:p>
        </w:tc>
      </w:tr>
      <w:tr w:rsidR="009120F2" w:rsidRPr="009120F2" w14:paraId="234A012B" w14:textId="77777777" w:rsidTr="00A2443E">
        <w:tc>
          <w:tcPr>
            <w:tcW w:w="3681" w:type="dxa"/>
            <w:vAlign w:val="center"/>
          </w:tcPr>
          <w:p w14:paraId="3519DAA6" w14:textId="53069E88" w:rsidR="009120F2" w:rsidRPr="009120F2" w:rsidRDefault="009120F2" w:rsidP="00A2443E">
            <w:pPr>
              <w:jc w:val="both"/>
              <w:rPr>
                <w:rFonts w:ascii="Trebuchet MS" w:hAnsi="Trebuchet MS"/>
                <w:sz w:val="20"/>
                <w:szCs w:val="20"/>
              </w:rPr>
            </w:pPr>
            <w:r w:rsidRPr="009120F2">
              <w:rPr>
                <w:rFonts w:ascii="Trebuchet MS" w:hAnsi="Trebuchet MS"/>
                <w:sz w:val="20"/>
                <w:szCs w:val="20"/>
              </w:rPr>
              <w:t>¿La empresa ofrece igual salario por trabajo igual o de igual valor, independientemente del género?</w:t>
            </w:r>
          </w:p>
        </w:tc>
        <w:tc>
          <w:tcPr>
            <w:tcW w:w="1134" w:type="dxa"/>
            <w:vAlign w:val="center"/>
          </w:tcPr>
          <w:p w14:paraId="3BE5DA29" w14:textId="4732AAA3" w:rsidR="009120F2" w:rsidRPr="009120F2" w:rsidRDefault="009120F2" w:rsidP="00A2443E">
            <w:pPr>
              <w:jc w:val="both"/>
              <w:rPr>
                <w:rFonts w:ascii="Trebuchet MS" w:hAnsi="Trebuchet MS"/>
                <w:sz w:val="20"/>
                <w:szCs w:val="20"/>
              </w:rPr>
            </w:pPr>
          </w:p>
        </w:tc>
        <w:tc>
          <w:tcPr>
            <w:tcW w:w="1134" w:type="dxa"/>
            <w:vAlign w:val="center"/>
          </w:tcPr>
          <w:p w14:paraId="73D5C303" w14:textId="77777777" w:rsidR="009120F2" w:rsidRPr="009120F2" w:rsidRDefault="009120F2" w:rsidP="00A2443E">
            <w:pPr>
              <w:jc w:val="both"/>
              <w:rPr>
                <w:rFonts w:ascii="Trebuchet MS" w:hAnsi="Trebuchet MS"/>
                <w:sz w:val="20"/>
                <w:szCs w:val="20"/>
              </w:rPr>
            </w:pPr>
          </w:p>
        </w:tc>
        <w:tc>
          <w:tcPr>
            <w:tcW w:w="2879" w:type="dxa"/>
            <w:vAlign w:val="center"/>
          </w:tcPr>
          <w:p w14:paraId="7BEF3826" w14:textId="57732D1A" w:rsidR="009120F2" w:rsidRPr="009120F2" w:rsidRDefault="009120F2" w:rsidP="00A2443E">
            <w:pPr>
              <w:jc w:val="both"/>
              <w:rPr>
                <w:rFonts w:ascii="Trebuchet MS" w:hAnsi="Trebuchet MS"/>
                <w:sz w:val="20"/>
                <w:szCs w:val="20"/>
              </w:rPr>
            </w:pPr>
            <w:r w:rsidRPr="009120F2">
              <w:rPr>
                <w:rFonts w:ascii="Trebuchet MS" w:hAnsi="Trebuchet MS"/>
                <w:sz w:val="20"/>
                <w:szCs w:val="20"/>
              </w:rPr>
              <w:t>Realizar una revisión exhaustiva de la estructura salarial para identificar y corregir cualquier disparidad salarial basada en el género. Establecer políticas y procesos transparentes para determinar los salarios que se basen en la experiencia, habilidades y responsabilidades laborales, en lugar del género.</w:t>
            </w:r>
          </w:p>
        </w:tc>
      </w:tr>
      <w:tr w:rsidR="009120F2" w:rsidRPr="009120F2" w14:paraId="203652FF" w14:textId="77777777" w:rsidTr="00A2443E">
        <w:tc>
          <w:tcPr>
            <w:tcW w:w="3681" w:type="dxa"/>
            <w:vAlign w:val="center"/>
          </w:tcPr>
          <w:p w14:paraId="691B8FBB" w14:textId="788010E6" w:rsidR="009120F2" w:rsidRPr="009120F2" w:rsidRDefault="009120F2" w:rsidP="00A2443E">
            <w:pPr>
              <w:jc w:val="both"/>
              <w:rPr>
                <w:rFonts w:ascii="Trebuchet MS" w:hAnsi="Trebuchet MS"/>
                <w:sz w:val="20"/>
                <w:szCs w:val="20"/>
              </w:rPr>
            </w:pPr>
            <w:r w:rsidRPr="009120F2">
              <w:rPr>
                <w:rFonts w:ascii="Trebuchet MS" w:hAnsi="Trebuchet MS"/>
                <w:sz w:val="20"/>
                <w:szCs w:val="20"/>
              </w:rPr>
              <w:t>¿La empresa proporciona oportunidades de capacitación y desarrollo profesional equitativas para hombres y mujeres?</w:t>
            </w:r>
          </w:p>
        </w:tc>
        <w:tc>
          <w:tcPr>
            <w:tcW w:w="1134" w:type="dxa"/>
            <w:vAlign w:val="center"/>
          </w:tcPr>
          <w:p w14:paraId="6165F337" w14:textId="77777777" w:rsidR="009120F2" w:rsidRPr="009120F2" w:rsidRDefault="009120F2" w:rsidP="00A2443E">
            <w:pPr>
              <w:jc w:val="both"/>
              <w:rPr>
                <w:rFonts w:ascii="Trebuchet MS" w:hAnsi="Trebuchet MS"/>
                <w:sz w:val="20"/>
                <w:szCs w:val="20"/>
              </w:rPr>
            </w:pPr>
          </w:p>
        </w:tc>
        <w:tc>
          <w:tcPr>
            <w:tcW w:w="1134" w:type="dxa"/>
            <w:vAlign w:val="center"/>
          </w:tcPr>
          <w:p w14:paraId="2FDF854D" w14:textId="77777777" w:rsidR="009120F2" w:rsidRPr="009120F2" w:rsidRDefault="009120F2" w:rsidP="00A2443E">
            <w:pPr>
              <w:jc w:val="both"/>
              <w:rPr>
                <w:rFonts w:ascii="Trebuchet MS" w:hAnsi="Trebuchet MS"/>
                <w:sz w:val="20"/>
                <w:szCs w:val="20"/>
              </w:rPr>
            </w:pPr>
          </w:p>
        </w:tc>
        <w:tc>
          <w:tcPr>
            <w:tcW w:w="2879" w:type="dxa"/>
            <w:vAlign w:val="center"/>
          </w:tcPr>
          <w:p w14:paraId="1F306F9B" w14:textId="3CAC96A9" w:rsidR="009120F2" w:rsidRPr="009120F2" w:rsidRDefault="009120F2" w:rsidP="00A2443E">
            <w:pPr>
              <w:jc w:val="both"/>
              <w:rPr>
                <w:rFonts w:ascii="Trebuchet MS" w:hAnsi="Trebuchet MS"/>
                <w:sz w:val="20"/>
                <w:szCs w:val="20"/>
              </w:rPr>
            </w:pPr>
            <w:r w:rsidRPr="009120F2">
              <w:rPr>
                <w:rFonts w:ascii="Trebuchet MS" w:hAnsi="Trebuchet MS"/>
                <w:sz w:val="20"/>
                <w:szCs w:val="20"/>
              </w:rPr>
              <w:t xml:space="preserve">Implementar programas de desarrollo profesional que estén disponibles para todos los empleados sin importar su género. Esto puede incluir capacitación en habilidades blandas y técnicas, oportunidades de mentoría y </w:t>
            </w:r>
            <w:r w:rsidRPr="009120F2">
              <w:rPr>
                <w:rFonts w:ascii="Trebuchet MS" w:hAnsi="Trebuchet MS"/>
                <w:sz w:val="20"/>
                <w:szCs w:val="20"/>
              </w:rPr>
              <w:lastRenderedPageBreak/>
              <w:t>acceso a recursos de desarrollo profesional.</w:t>
            </w:r>
          </w:p>
        </w:tc>
      </w:tr>
      <w:tr w:rsidR="009120F2" w:rsidRPr="009120F2" w14:paraId="60FC8076" w14:textId="77777777" w:rsidTr="00A2443E">
        <w:tc>
          <w:tcPr>
            <w:tcW w:w="3681" w:type="dxa"/>
            <w:vAlign w:val="center"/>
          </w:tcPr>
          <w:p w14:paraId="5F1AB143" w14:textId="152DB697" w:rsidR="009120F2" w:rsidRPr="009120F2" w:rsidRDefault="009120F2" w:rsidP="00A2443E">
            <w:pPr>
              <w:jc w:val="both"/>
              <w:rPr>
                <w:rFonts w:ascii="Trebuchet MS" w:hAnsi="Trebuchet MS"/>
                <w:sz w:val="20"/>
                <w:szCs w:val="20"/>
              </w:rPr>
            </w:pPr>
            <w:r w:rsidRPr="009120F2">
              <w:rPr>
                <w:rFonts w:ascii="Trebuchet MS" w:hAnsi="Trebuchet MS"/>
                <w:sz w:val="20"/>
                <w:szCs w:val="20"/>
              </w:rPr>
              <w:lastRenderedPageBreak/>
              <w:t>¿La empresa cuenta con programas de licencia parental equitativos para hombres y mujeres?</w:t>
            </w:r>
          </w:p>
        </w:tc>
        <w:tc>
          <w:tcPr>
            <w:tcW w:w="1134" w:type="dxa"/>
            <w:vAlign w:val="center"/>
          </w:tcPr>
          <w:p w14:paraId="1E0F5320" w14:textId="77777777" w:rsidR="009120F2" w:rsidRPr="009120F2" w:rsidRDefault="009120F2" w:rsidP="00A2443E">
            <w:pPr>
              <w:jc w:val="both"/>
              <w:rPr>
                <w:rFonts w:ascii="Trebuchet MS" w:hAnsi="Trebuchet MS"/>
                <w:sz w:val="20"/>
                <w:szCs w:val="20"/>
              </w:rPr>
            </w:pPr>
          </w:p>
        </w:tc>
        <w:tc>
          <w:tcPr>
            <w:tcW w:w="1134" w:type="dxa"/>
            <w:vAlign w:val="center"/>
          </w:tcPr>
          <w:p w14:paraId="65FA9D4C" w14:textId="77777777" w:rsidR="009120F2" w:rsidRPr="009120F2" w:rsidRDefault="009120F2" w:rsidP="00A2443E">
            <w:pPr>
              <w:jc w:val="both"/>
              <w:rPr>
                <w:rFonts w:ascii="Trebuchet MS" w:hAnsi="Trebuchet MS"/>
                <w:sz w:val="20"/>
                <w:szCs w:val="20"/>
              </w:rPr>
            </w:pPr>
          </w:p>
        </w:tc>
        <w:tc>
          <w:tcPr>
            <w:tcW w:w="2879" w:type="dxa"/>
            <w:vAlign w:val="center"/>
          </w:tcPr>
          <w:p w14:paraId="4CF4A8CC" w14:textId="27B8695E" w:rsidR="009120F2" w:rsidRPr="009120F2" w:rsidRDefault="009120F2" w:rsidP="00A2443E">
            <w:pPr>
              <w:jc w:val="both"/>
              <w:rPr>
                <w:rFonts w:ascii="Trebuchet MS" w:hAnsi="Trebuchet MS"/>
                <w:sz w:val="20"/>
                <w:szCs w:val="20"/>
              </w:rPr>
            </w:pPr>
            <w:r>
              <w:rPr>
                <w:rFonts w:ascii="Trebuchet MS" w:hAnsi="Trebuchet MS"/>
                <w:sz w:val="20"/>
                <w:szCs w:val="20"/>
              </w:rPr>
              <w:t>R</w:t>
            </w:r>
            <w:r w:rsidRPr="009120F2">
              <w:rPr>
                <w:rFonts w:ascii="Trebuchet MS" w:hAnsi="Trebuchet MS"/>
                <w:sz w:val="20"/>
                <w:szCs w:val="20"/>
              </w:rPr>
              <w:t>evisar y ajustar las políticas de licencia parental para garantizar que tanto hombres como mujeres tengan acceso a un tiempo de licencia igualitario para el cuidado de los hijos. Esto puede incluir la implementación de políticas de licencia parental remunerada y flexibilidad en la programación del tiempo de licencia.</w:t>
            </w:r>
          </w:p>
        </w:tc>
      </w:tr>
      <w:tr w:rsidR="009120F2" w:rsidRPr="009120F2" w14:paraId="73E23BB4" w14:textId="77777777" w:rsidTr="00A2443E">
        <w:tc>
          <w:tcPr>
            <w:tcW w:w="3681" w:type="dxa"/>
            <w:vAlign w:val="center"/>
          </w:tcPr>
          <w:p w14:paraId="51D90D5A" w14:textId="75112759" w:rsidR="009120F2" w:rsidRPr="009120F2" w:rsidRDefault="00A2443E" w:rsidP="00A2443E">
            <w:pPr>
              <w:jc w:val="both"/>
              <w:rPr>
                <w:rFonts w:ascii="Trebuchet MS" w:hAnsi="Trebuchet MS"/>
                <w:sz w:val="20"/>
                <w:szCs w:val="20"/>
              </w:rPr>
            </w:pPr>
            <w:r w:rsidRPr="00A2443E">
              <w:rPr>
                <w:rFonts w:ascii="Trebuchet MS" w:hAnsi="Trebuchet MS"/>
                <w:sz w:val="20"/>
                <w:szCs w:val="20"/>
              </w:rPr>
              <w:t>¿La empresa cuenta con un porcentaje significativo de mujeres en roles de liderazgo y toma de decisiones?</w:t>
            </w:r>
          </w:p>
        </w:tc>
        <w:tc>
          <w:tcPr>
            <w:tcW w:w="1134" w:type="dxa"/>
            <w:vAlign w:val="center"/>
          </w:tcPr>
          <w:p w14:paraId="0EE21169" w14:textId="77777777" w:rsidR="009120F2" w:rsidRPr="009120F2" w:rsidRDefault="009120F2" w:rsidP="00A2443E">
            <w:pPr>
              <w:jc w:val="both"/>
              <w:rPr>
                <w:rFonts w:ascii="Trebuchet MS" w:hAnsi="Trebuchet MS"/>
                <w:sz w:val="20"/>
                <w:szCs w:val="20"/>
              </w:rPr>
            </w:pPr>
          </w:p>
        </w:tc>
        <w:tc>
          <w:tcPr>
            <w:tcW w:w="1134" w:type="dxa"/>
            <w:vAlign w:val="center"/>
          </w:tcPr>
          <w:p w14:paraId="486047AA" w14:textId="77777777" w:rsidR="009120F2" w:rsidRPr="009120F2" w:rsidRDefault="009120F2" w:rsidP="00A2443E">
            <w:pPr>
              <w:jc w:val="both"/>
              <w:rPr>
                <w:rFonts w:ascii="Trebuchet MS" w:hAnsi="Trebuchet MS"/>
                <w:sz w:val="20"/>
                <w:szCs w:val="20"/>
              </w:rPr>
            </w:pPr>
          </w:p>
        </w:tc>
        <w:tc>
          <w:tcPr>
            <w:tcW w:w="2879" w:type="dxa"/>
            <w:vAlign w:val="center"/>
          </w:tcPr>
          <w:p w14:paraId="11C2A936" w14:textId="3D9B6E33" w:rsidR="009120F2" w:rsidRPr="009120F2" w:rsidRDefault="00A2443E" w:rsidP="00A2443E">
            <w:pPr>
              <w:jc w:val="both"/>
              <w:rPr>
                <w:rFonts w:ascii="Trebuchet MS" w:hAnsi="Trebuchet MS"/>
                <w:sz w:val="20"/>
                <w:szCs w:val="20"/>
              </w:rPr>
            </w:pPr>
            <w:r w:rsidRPr="00A2443E">
              <w:rPr>
                <w:rFonts w:ascii="Trebuchet MS" w:hAnsi="Trebuchet MS"/>
                <w:sz w:val="20"/>
                <w:szCs w:val="20"/>
              </w:rPr>
              <w:t>Implementar programas de desarrollo de liderazgo específicos para mujeres y establecer metas de representación de género para roles de liderazgo y toma de decisiones. Fomentar una cultura organizacional que valore y promueva la diversidad de género en todos los niveles de la empresa.</w:t>
            </w:r>
          </w:p>
        </w:tc>
      </w:tr>
      <w:tr w:rsidR="00A2443E" w:rsidRPr="009120F2" w14:paraId="38162F0A" w14:textId="77777777" w:rsidTr="00A2443E">
        <w:tc>
          <w:tcPr>
            <w:tcW w:w="3681" w:type="dxa"/>
            <w:vAlign w:val="center"/>
          </w:tcPr>
          <w:p w14:paraId="31E1B742" w14:textId="3067187B" w:rsidR="00A2443E" w:rsidRPr="00A2443E" w:rsidRDefault="00A2443E" w:rsidP="00A2443E">
            <w:pPr>
              <w:jc w:val="both"/>
              <w:rPr>
                <w:rFonts w:ascii="Trebuchet MS" w:hAnsi="Trebuchet MS"/>
                <w:sz w:val="20"/>
                <w:szCs w:val="20"/>
              </w:rPr>
            </w:pPr>
            <w:r w:rsidRPr="00A2443E">
              <w:rPr>
                <w:rFonts w:ascii="Trebuchet MS" w:hAnsi="Trebuchet MS"/>
                <w:sz w:val="20"/>
                <w:szCs w:val="20"/>
              </w:rPr>
              <w:t>¿La empresa ofrece políticas de flexibilidad laboral que permiten a hombres y mujeres equilibrar sus responsabilidades laborales y familiares?</w:t>
            </w:r>
          </w:p>
        </w:tc>
        <w:tc>
          <w:tcPr>
            <w:tcW w:w="1134" w:type="dxa"/>
            <w:vAlign w:val="center"/>
          </w:tcPr>
          <w:p w14:paraId="3B402CC1" w14:textId="77777777" w:rsidR="00A2443E" w:rsidRPr="009120F2" w:rsidRDefault="00A2443E" w:rsidP="00A2443E">
            <w:pPr>
              <w:jc w:val="both"/>
              <w:rPr>
                <w:rFonts w:ascii="Trebuchet MS" w:hAnsi="Trebuchet MS"/>
                <w:sz w:val="20"/>
                <w:szCs w:val="20"/>
              </w:rPr>
            </w:pPr>
          </w:p>
        </w:tc>
        <w:tc>
          <w:tcPr>
            <w:tcW w:w="1134" w:type="dxa"/>
            <w:vAlign w:val="center"/>
          </w:tcPr>
          <w:p w14:paraId="2801B06C" w14:textId="77777777" w:rsidR="00A2443E" w:rsidRPr="009120F2" w:rsidRDefault="00A2443E" w:rsidP="00A2443E">
            <w:pPr>
              <w:jc w:val="both"/>
              <w:rPr>
                <w:rFonts w:ascii="Trebuchet MS" w:hAnsi="Trebuchet MS"/>
                <w:sz w:val="20"/>
                <w:szCs w:val="20"/>
              </w:rPr>
            </w:pPr>
          </w:p>
        </w:tc>
        <w:tc>
          <w:tcPr>
            <w:tcW w:w="2879" w:type="dxa"/>
            <w:vAlign w:val="center"/>
          </w:tcPr>
          <w:p w14:paraId="63D9DD93" w14:textId="7292D1F5" w:rsidR="00A2443E" w:rsidRPr="00A2443E" w:rsidRDefault="00A2443E" w:rsidP="00A2443E">
            <w:pPr>
              <w:jc w:val="both"/>
              <w:rPr>
                <w:rFonts w:ascii="Trebuchet MS" w:hAnsi="Trebuchet MS"/>
                <w:sz w:val="20"/>
                <w:szCs w:val="20"/>
              </w:rPr>
            </w:pPr>
            <w:r w:rsidRPr="00A2443E">
              <w:rPr>
                <w:rFonts w:ascii="Trebuchet MS" w:hAnsi="Trebuchet MS"/>
                <w:sz w:val="20"/>
                <w:szCs w:val="20"/>
              </w:rPr>
              <w:t>Implementar políticas de flexibilidad laboral, como trabajo remoto, horarios flexibles y opciones de tiempo parcial, que permitan a los empleados, tanto hombres como mujeres, gestionar sus responsabilidades laborales y familiares de manera equitativa.</w:t>
            </w:r>
          </w:p>
        </w:tc>
      </w:tr>
      <w:tr w:rsidR="00A2443E" w:rsidRPr="009120F2" w14:paraId="4CD78C37" w14:textId="77777777" w:rsidTr="00A2443E">
        <w:tc>
          <w:tcPr>
            <w:tcW w:w="3681" w:type="dxa"/>
            <w:vAlign w:val="center"/>
          </w:tcPr>
          <w:p w14:paraId="637540FE" w14:textId="2F09391A" w:rsidR="00A2443E" w:rsidRPr="00A2443E" w:rsidRDefault="00A2443E" w:rsidP="00A2443E">
            <w:pPr>
              <w:jc w:val="both"/>
              <w:rPr>
                <w:rFonts w:ascii="Trebuchet MS" w:hAnsi="Trebuchet MS"/>
                <w:sz w:val="20"/>
                <w:szCs w:val="20"/>
              </w:rPr>
            </w:pPr>
            <w:r w:rsidRPr="00A2443E">
              <w:rPr>
                <w:rFonts w:ascii="Trebuchet MS" w:hAnsi="Trebuchet MS"/>
                <w:sz w:val="20"/>
                <w:szCs w:val="20"/>
              </w:rPr>
              <w:t>¿La empresa tiene un comité o departamento dedicado a promover la diversidad y la inclusión, incluyendo la equidad de género?</w:t>
            </w:r>
          </w:p>
        </w:tc>
        <w:tc>
          <w:tcPr>
            <w:tcW w:w="1134" w:type="dxa"/>
            <w:vAlign w:val="center"/>
          </w:tcPr>
          <w:p w14:paraId="244B49E2" w14:textId="77777777" w:rsidR="00A2443E" w:rsidRPr="009120F2" w:rsidRDefault="00A2443E" w:rsidP="00A2443E">
            <w:pPr>
              <w:jc w:val="both"/>
              <w:rPr>
                <w:rFonts w:ascii="Trebuchet MS" w:hAnsi="Trebuchet MS"/>
                <w:sz w:val="20"/>
                <w:szCs w:val="20"/>
              </w:rPr>
            </w:pPr>
          </w:p>
        </w:tc>
        <w:tc>
          <w:tcPr>
            <w:tcW w:w="1134" w:type="dxa"/>
            <w:vAlign w:val="center"/>
          </w:tcPr>
          <w:p w14:paraId="775E355F" w14:textId="77777777" w:rsidR="00A2443E" w:rsidRPr="009120F2" w:rsidRDefault="00A2443E" w:rsidP="00A2443E">
            <w:pPr>
              <w:jc w:val="both"/>
              <w:rPr>
                <w:rFonts w:ascii="Trebuchet MS" w:hAnsi="Trebuchet MS"/>
                <w:sz w:val="20"/>
                <w:szCs w:val="20"/>
              </w:rPr>
            </w:pPr>
          </w:p>
        </w:tc>
        <w:tc>
          <w:tcPr>
            <w:tcW w:w="2879" w:type="dxa"/>
            <w:vAlign w:val="center"/>
          </w:tcPr>
          <w:p w14:paraId="74326848" w14:textId="2206354B" w:rsidR="00A2443E" w:rsidRPr="00A2443E" w:rsidRDefault="00A2443E" w:rsidP="00A2443E">
            <w:pPr>
              <w:jc w:val="both"/>
              <w:rPr>
                <w:rFonts w:ascii="Trebuchet MS" w:hAnsi="Trebuchet MS"/>
                <w:sz w:val="20"/>
                <w:szCs w:val="20"/>
              </w:rPr>
            </w:pPr>
            <w:r w:rsidRPr="00A2443E">
              <w:rPr>
                <w:rFonts w:ascii="Trebuchet MS" w:hAnsi="Trebuchet MS"/>
                <w:sz w:val="20"/>
                <w:szCs w:val="20"/>
              </w:rPr>
              <w:t>Establecer un comité de diversidad e inclusión que se encargue específicamente de promover la equidad de género y otras formas de diversidad en la empresa. Este comité puede desarrollar e implementar iniciativas y programas que fomenten un entorno de trabajo inclusivo y equitativo para todos los empleados.</w:t>
            </w:r>
          </w:p>
        </w:tc>
      </w:tr>
      <w:tr w:rsidR="00A2443E" w:rsidRPr="009120F2" w14:paraId="1F5BF5FB" w14:textId="77777777" w:rsidTr="00A2443E">
        <w:tc>
          <w:tcPr>
            <w:tcW w:w="3681" w:type="dxa"/>
            <w:vAlign w:val="center"/>
          </w:tcPr>
          <w:p w14:paraId="584A4208" w14:textId="54E3044A" w:rsidR="00A2443E" w:rsidRPr="00A2443E" w:rsidRDefault="00A2443E" w:rsidP="00A2443E">
            <w:pPr>
              <w:jc w:val="both"/>
              <w:rPr>
                <w:rFonts w:ascii="Trebuchet MS" w:hAnsi="Trebuchet MS"/>
                <w:sz w:val="20"/>
                <w:szCs w:val="20"/>
              </w:rPr>
            </w:pPr>
            <w:r w:rsidRPr="00A2443E">
              <w:rPr>
                <w:rFonts w:ascii="Trebuchet MS" w:hAnsi="Trebuchet MS"/>
                <w:sz w:val="20"/>
                <w:szCs w:val="20"/>
              </w:rPr>
              <w:t>¿La empresa divulga públicamente información sobre la representación de género en todos los niveles de la organización?</w:t>
            </w:r>
          </w:p>
        </w:tc>
        <w:tc>
          <w:tcPr>
            <w:tcW w:w="1134" w:type="dxa"/>
            <w:vAlign w:val="center"/>
          </w:tcPr>
          <w:p w14:paraId="33D4247E" w14:textId="77777777" w:rsidR="00A2443E" w:rsidRPr="009120F2" w:rsidRDefault="00A2443E" w:rsidP="00A2443E">
            <w:pPr>
              <w:jc w:val="both"/>
              <w:rPr>
                <w:rFonts w:ascii="Trebuchet MS" w:hAnsi="Trebuchet MS"/>
                <w:sz w:val="20"/>
                <w:szCs w:val="20"/>
              </w:rPr>
            </w:pPr>
          </w:p>
        </w:tc>
        <w:tc>
          <w:tcPr>
            <w:tcW w:w="1134" w:type="dxa"/>
            <w:vAlign w:val="center"/>
          </w:tcPr>
          <w:p w14:paraId="6C88CBB7" w14:textId="77777777" w:rsidR="00A2443E" w:rsidRPr="009120F2" w:rsidRDefault="00A2443E" w:rsidP="00A2443E">
            <w:pPr>
              <w:jc w:val="both"/>
              <w:rPr>
                <w:rFonts w:ascii="Trebuchet MS" w:hAnsi="Trebuchet MS"/>
                <w:sz w:val="20"/>
                <w:szCs w:val="20"/>
              </w:rPr>
            </w:pPr>
          </w:p>
        </w:tc>
        <w:tc>
          <w:tcPr>
            <w:tcW w:w="2879" w:type="dxa"/>
            <w:vAlign w:val="center"/>
          </w:tcPr>
          <w:p w14:paraId="56FC126E" w14:textId="513D8416" w:rsidR="00A2443E" w:rsidRPr="00A2443E" w:rsidRDefault="00A2443E" w:rsidP="00A2443E">
            <w:pPr>
              <w:jc w:val="both"/>
              <w:rPr>
                <w:rFonts w:ascii="Trebuchet MS" w:hAnsi="Trebuchet MS"/>
                <w:sz w:val="20"/>
                <w:szCs w:val="20"/>
              </w:rPr>
            </w:pPr>
            <w:r w:rsidRPr="00A2443E">
              <w:rPr>
                <w:rFonts w:ascii="Trebuchet MS" w:hAnsi="Trebuchet MS"/>
                <w:sz w:val="20"/>
                <w:szCs w:val="20"/>
              </w:rPr>
              <w:t xml:space="preserve">Comprometerse a divulgar de manera transparente la información sobre la representación de género en todos los niveles de la organización. Esto puede incluir la publicación de </w:t>
            </w:r>
            <w:r w:rsidRPr="00A2443E">
              <w:rPr>
                <w:rFonts w:ascii="Trebuchet MS" w:hAnsi="Trebuchet MS"/>
                <w:sz w:val="20"/>
                <w:szCs w:val="20"/>
              </w:rPr>
              <w:lastRenderedPageBreak/>
              <w:t>informes anuales de diversidad que detallen la composición de la fuerza laboral y los avances hacia metas de equidad de género.</w:t>
            </w:r>
          </w:p>
        </w:tc>
      </w:tr>
      <w:tr w:rsidR="00A2443E" w:rsidRPr="009120F2" w14:paraId="4B6DEEC0" w14:textId="77777777" w:rsidTr="00A2443E">
        <w:tc>
          <w:tcPr>
            <w:tcW w:w="3681" w:type="dxa"/>
            <w:vAlign w:val="center"/>
          </w:tcPr>
          <w:p w14:paraId="7A7FF7F0" w14:textId="1F2CF197" w:rsidR="00A2443E" w:rsidRPr="00A2443E" w:rsidRDefault="00A2443E" w:rsidP="00A2443E">
            <w:pPr>
              <w:jc w:val="both"/>
              <w:rPr>
                <w:rFonts w:ascii="Trebuchet MS" w:hAnsi="Trebuchet MS"/>
                <w:sz w:val="20"/>
                <w:szCs w:val="20"/>
              </w:rPr>
            </w:pPr>
            <w:r w:rsidRPr="00A2443E">
              <w:rPr>
                <w:rFonts w:ascii="Trebuchet MS" w:hAnsi="Trebuchet MS"/>
                <w:sz w:val="20"/>
                <w:szCs w:val="20"/>
              </w:rPr>
              <w:lastRenderedPageBreak/>
              <w:t>¿La empresa participa activamente en iniciativas comunitarias que promueven la igualdad de género?</w:t>
            </w:r>
          </w:p>
        </w:tc>
        <w:tc>
          <w:tcPr>
            <w:tcW w:w="1134" w:type="dxa"/>
            <w:vAlign w:val="center"/>
          </w:tcPr>
          <w:p w14:paraId="1A579FA9" w14:textId="77777777" w:rsidR="00A2443E" w:rsidRPr="009120F2" w:rsidRDefault="00A2443E" w:rsidP="00A2443E">
            <w:pPr>
              <w:jc w:val="both"/>
              <w:rPr>
                <w:rFonts w:ascii="Trebuchet MS" w:hAnsi="Trebuchet MS"/>
                <w:sz w:val="20"/>
                <w:szCs w:val="20"/>
              </w:rPr>
            </w:pPr>
          </w:p>
        </w:tc>
        <w:tc>
          <w:tcPr>
            <w:tcW w:w="1134" w:type="dxa"/>
            <w:vAlign w:val="center"/>
          </w:tcPr>
          <w:p w14:paraId="2E94D868" w14:textId="77777777" w:rsidR="00A2443E" w:rsidRPr="009120F2" w:rsidRDefault="00A2443E" w:rsidP="00A2443E">
            <w:pPr>
              <w:jc w:val="both"/>
              <w:rPr>
                <w:rFonts w:ascii="Trebuchet MS" w:hAnsi="Trebuchet MS"/>
                <w:sz w:val="20"/>
                <w:szCs w:val="20"/>
              </w:rPr>
            </w:pPr>
          </w:p>
        </w:tc>
        <w:tc>
          <w:tcPr>
            <w:tcW w:w="2879" w:type="dxa"/>
            <w:vAlign w:val="center"/>
          </w:tcPr>
          <w:p w14:paraId="1F3EE899" w14:textId="39C81015" w:rsidR="00A2443E" w:rsidRPr="00A2443E" w:rsidRDefault="00A2443E" w:rsidP="00A2443E">
            <w:pPr>
              <w:jc w:val="both"/>
              <w:rPr>
                <w:rFonts w:ascii="Trebuchet MS" w:hAnsi="Trebuchet MS"/>
                <w:sz w:val="20"/>
                <w:szCs w:val="20"/>
              </w:rPr>
            </w:pPr>
            <w:r w:rsidRPr="00A2443E">
              <w:rPr>
                <w:rFonts w:ascii="Trebuchet MS" w:hAnsi="Trebuchet MS"/>
                <w:sz w:val="20"/>
                <w:szCs w:val="20"/>
              </w:rPr>
              <w:t>Involucrarse en iniciativas comunitarias que promuevan la igualdad de género, como patrocinar eventos locales, colaborar con organizaciones sin fines de lucro que trabajen en temas de equidad de género y participar en programas de mentoría para mujeres jóvenes. Esta participación puede ayudar a la empresa a contribuir positivamente al cambio social y a fortalecer su compromiso con la equidad de género.</w:t>
            </w:r>
          </w:p>
        </w:tc>
      </w:tr>
      <w:tr w:rsidR="00A2443E" w:rsidRPr="009120F2" w14:paraId="1D863FEA" w14:textId="77777777" w:rsidTr="00A2443E">
        <w:tc>
          <w:tcPr>
            <w:tcW w:w="3681" w:type="dxa"/>
            <w:vAlign w:val="center"/>
          </w:tcPr>
          <w:p w14:paraId="5DE19973" w14:textId="23A0C10C" w:rsidR="00A2443E" w:rsidRPr="00A2443E" w:rsidRDefault="00A2443E" w:rsidP="00A2443E">
            <w:pPr>
              <w:jc w:val="both"/>
              <w:rPr>
                <w:rFonts w:ascii="Trebuchet MS" w:hAnsi="Trebuchet MS"/>
                <w:sz w:val="20"/>
                <w:szCs w:val="20"/>
              </w:rPr>
            </w:pPr>
            <w:r w:rsidRPr="00A2443E">
              <w:rPr>
                <w:rFonts w:ascii="Trebuchet MS" w:hAnsi="Trebuchet MS"/>
                <w:sz w:val="20"/>
                <w:szCs w:val="20"/>
              </w:rPr>
              <w:t>¿La empresa cuenta con indicadores y métricas específicas para medir el progreso y el impacto de sus iniciativas relacionadas con la equidad de género?</w:t>
            </w:r>
          </w:p>
        </w:tc>
        <w:tc>
          <w:tcPr>
            <w:tcW w:w="1134" w:type="dxa"/>
            <w:vAlign w:val="center"/>
          </w:tcPr>
          <w:p w14:paraId="32C8B628" w14:textId="77777777" w:rsidR="00A2443E" w:rsidRPr="009120F2" w:rsidRDefault="00A2443E" w:rsidP="00A2443E">
            <w:pPr>
              <w:jc w:val="both"/>
              <w:rPr>
                <w:rFonts w:ascii="Trebuchet MS" w:hAnsi="Trebuchet MS"/>
                <w:sz w:val="20"/>
                <w:szCs w:val="20"/>
              </w:rPr>
            </w:pPr>
          </w:p>
        </w:tc>
        <w:tc>
          <w:tcPr>
            <w:tcW w:w="1134" w:type="dxa"/>
            <w:vAlign w:val="center"/>
          </w:tcPr>
          <w:p w14:paraId="5900ED27" w14:textId="77777777" w:rsidR="00A2443E" w:rsidRPr="009120F2" w:rsidRDefault="00A2443E" w:rsidP="00A2443E">
            <w:pPr>
              <w:jc w:val="both"/>
              <w:rPr>
                <w:rFonts w:ascii="Trebuchet MS" w:hAnsi="Trebuchet MS"/>
                <w:sz w:val="20"/>
                <w:szCs w:val="20"/>
              </w:rPr>
            </w:pPr>
          </w:p>
        </w:tc>
        <w:tc>
          <w:tcPr>
            <w:tcW w:w="2879" w:type="dxa"/>
            <w:vAlign w:val="center"/>
          </w:tcPr>
          <w:p w14:paraId="1396DC18" w14:textId="3CF12FD0" w:rsidR="00A2443E" w:rsidRPr="00A2443E" w:rsidRDefault="00A2443E" w:rsidP="00A2443E">
            <w:pPr>
              <w:jc w:val="both"/>
              <w:rPr>
                <w:rFonts w:ascii="Trebuchet MS" w:hAnsi="Trebuchet MS"/>
                <w:sz w:val="20"/>
                <w:szCs w:val="20"/>
              </w:rPr>
            </w:pPr>
            <w:r w:rsidRPr="00A2443E">
              <w:rPr>
                <w:rFonts w:ascii="Trebuchet MS" w:hAnsi="Trebuchet MS"/>
                <w:sz w:val="20"/>
                <w:szCs w:val="20"/>
              </w:rPr>
              <w:t>Implementar sistemas de seguimiento y medición que permitan evaluar el impacto de las políticas y programas relacionados con la equidad de género. Esto puede incluir el monitoreo de la representación de género en todos los niveles de la organización, la revisión periódica de las brechas salariales y la recopilación de retroalimentación de los empleados sobre la cultura organizacional. Estos indicadores ayudarán a la empresa a identificar áreas de mejora y a mantenerse responsables de sus esfuerzos en materia de equidad de género.</w:t>
            </w:r>
          </w:p>
        </w:tc>
      </w:tr>
    </w:tbl>
    <w:p w14:paraId="566A1CFD" w14:textId="77777777" w:rsidR="009120F2" w:rsidRPr="00EF70BC" w:rsidRDefault="009120F2" w:rsidP="00EF70BC">
      <w:pPr>
        <w:rPr>
          <w:rFonts w:ascii="Trebuchet MS" w:hAnsi="Trebuchet MS"/>
        </w:rPr>
      </w:pPr>
    </w:p>
    <w:sectPr w:rsidR="009120F2" w:rsidRPr="00EF70BC">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CF788" w14:textId="77777777" w:rsidR="00E025FE" w:rsidRDefault="00E025FE" w:rsidP="007B7E5B">
      <w:pPr>
        <w:spacing w:after="0" w:line="240" w:lineRule="auto"/>
      </w:pPr>
      <w:r>
        <w:separator/>
      </w:r>
    </w:p>
  </w:endnote>
  <w:endnote w:type="continuationSeparator" w:id="0">
    <w:p w14:paraId="484618DB" w14:textId="77777777" w:rsidR="00E025FE" w:rsidRDefault="00E025FE" w:rsidP="007B7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FA405" w14:textId="77777777" w:rsidR="00E025FE" w:rsidRDefault="00E025FE" w:rsidP="007B7E5B">
      <w:pPr>
        <w:spacing w:after="0" w:line="240" w:lineRule="auto"/>
      </w:pPr>
      <w:r>
        <w:separator/>
      </w:r>
    </w:p>
  </w:footnote>
  <w:footnote w:type="continuationSeparator" w:id="0">
    <w:p w14:paraId="6DC2B2EA" w14:textId="77777777" w:rsidR="00E025FE" w:rsidRDefault="00E025FE" w:rsidP="007B7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6FC2" w14:textId="41BB13A1" w:rsidR="007B7E5B" w:rsidRDefault="007B7E5B">
    <w:pPr>
      <w:pStyle w:val="Encabezado"/>
    </w:pPr>
    <w:r>
      <w:rPr>
        <w:rFonts w:ascii="Times New Roman"/>
        <w:noProof/>
      </w:rPr>
      <mc:AlternateContent>
        <mc:Choice Requires="wpg">
          <w:drawing>
            <wp:anchor distT="0" distB="0" distL="114300" distR="114300" simplePos="0" relativeHeight="251659264" behindDoc="0" locked="0" layoutInCell="1" allowOverlap="1" wp14:anchorId="40ECE48D" wp14:editId="0BC043EE">
              <wp:simplePos x="0" y="0"/>
              <wp:positionH relativeFrom="page">
                <wp:align>right</wp:align>
              </wp:positionH>
              <wp:positionV relativeFrom="paragraph">
                <wp:posOffset>-354318</wp:posOffset>
              </wp:positionV>
              <wp:extent cx="7648575" cy="578518"/>
              <wp:effectExtent l="0" t="0" r="9525" b="0"/>
              <wp:wrapNone/>
              <wp:docPr id="1042112218" name="Grupo 4"/>
              <wp:cNvGraphicFramePr/>
              <a:graphic xmlns:a="http://schemas.openxmlformats.org/drawingml/2006/main">
                <a:graphicData uri="http://schemas.microsoft.com/office/word/2010/wordprocessingGroup">
                  <wpg:wgp>
                    <wpg:cNvGrpSpPr/>
                    <wpg:grpSpPr>
                      <a:xfrm>
                        <a:off x="0" y="0"/>
                        <a:ext cx="7648575" cy="578518"/>
                        <a:chOff x="-1114425" y="-865955"/>
                        <a:chExt cx="7648575" cy="578518"/>
                      </a:xfrm>
                    </wpg:grpSpPr>
                    <wps:wsp>
                      <wps:cNvPr id="543057633" name="Rectángulo 3"/>
                      <wps:cNvSpPr/>
                      <wps:spPr>
                        <a:xfrm>
                          <a:off x="-1114425" y="-865955"/>
                          <a:ext cx="7648575" cy="578518"/>
                        </a:xfrm>
                        <a:prstGeom prst="rect">
                          <a:avLst/>
                        </a:prstGeom>
                        <a:solidFill>
                          <a:srgbClr val="EFFFFF"/>
                        </a:solidFill>
                        <a:ln>
                          <a:noFill/>
                        </a:ln>
                      </wps:spPr>
                      <wps:style>
                        <a:lnRef idx="2">
                          <a:schemeClr val="dk1"/>
                        </a:lnRef>
                        <a:fillRef idx="1">
                          <a:schemeClr val="lt1"/>
                        </a:fillRef>
                        <a:effectRef idx="0">
                          <a:schemeClr val="dk1"/>
                        </a:effectRef>
                        <a:fontRef idx="minor">
                          <a:schemeClr val="dk1"/>
                        </a:fontRef>
                      </wps:style>
                      <wps:txbx>
                        <w:txbxContent>
                          <w:p w14:paraId="39A205E5" w14:textId="77777777" w:rsidR="007B7E5B" w:rsidRPr="00495AC9" w:rsidRDefault="007B7E5B" w:rsidP="007B7E5B">
                            <w:pPr>
                              <w:ind w:left="720"/>
                              <w:rPr>
                                <w:rFonts w:ascii="Arial" w:hAnsi="Arial" w:cs="Arial"/>
                                <w:sz w:val="18"/>
                                <w:szCs w:val="18"/>
                              </w:rPr>
                            </w:pPr>
                            <w:r w:rsidRPr="00495AC9">
                              <w:rPr>
                                <w:rFonts w:ascii="Arial" w:hAnsi="Arial" w:cs="Arial"/>
                                <w:sz w:val="18"/>
                                <w:szCs w:val="18"/>
                              </w:rPr>
                              <w:t>Adaptado por: CIRCULAR LAB</w:t>
                            </w:r>
                            <w:r>
                              <w:rPr>
                                <w:rFonts w:ascii="Arial" w:hAnsi="Arial" w:cs="Arial"/>
                                <w:sz w:val="18"/>
                                <w:szCs w:val="18"/>
                              </w:rPr>
                              <w:t xml:space="preserve"> y CAMACOL.</w:t>
                            </w:r>
                          </w:p>
                          <w:p w14:paraId="17C906AC" w14:textId="77777777" w:rsidR="007B7E5B" w:rsidRDefault="007B7E5B" w:rsidP="007B7E5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895782" name="Graphic 3"/>
                      <wps:cNvSpPr/>
                      <wps:spPr>
                        <a:xfrm>
                          <a:off x="-1114425" y="-685800"/>
                          <a:ext cx="397510" cy="363855"/>
                        </a:xfrm>
                        <a:custGeom>
                          <a:avLst/>
                          <a:gdLst/>
                          <a:ahLst/>
                          <a:cxnLst/>
                          <a:rect l="l" t="t" r="r" b="b"/>
                          <a:pathLst>
                            <a:path w="397510" h="364490">
                              <a:moveTo>
                                <a:pt x="397447" y="0"/>
                              </a:moveTo>
                              <a:lnTo>
                                <a:pt x="0" y="0"/>
                              </a:lnTo>
                              <a:lnTo>
                                <a:pt x="0" y="364133"/>
                              </a:lnTo>
                              <a:lnTo>
                                <a:pt x="397447" y="364133"/>
                              </a:lnTo>
                              <a:lnTo>
                                <a:pt x="397447" y="0"/>
                              </a:lnTo>
                              <a:close/>
                            </a:path>
                          </a:pathLst>
                        </a:custGeom>
                        <a:solidFill>
                          <a:srgbClr val="493CC3"/>
                        </a:solid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40ECE48D" id="Grupo 4" o:spid="_x0000_s1027" style="position:absolute;margin-left:551.05pt;margin-top:-27.9pt;width:602.25pt;height:45.55pt;z-index:251659264;mso-position-horizontal:right;mso-position-horizontal-relative:page;mso-height-relative:margin" coordorigin="-11144,-8659" coordsize="76485,5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">
              <v:rect id="Rectángulo 3" o:spid="_x0000_s1028" style="position:absolute;left:-11144;top:-8659;width:76485;height:5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" fillcolor="#efffff" stroked="f" strokeweight="1pt">
                <v:textbox>
                  <w:txbxContent>
                    <w:p w14:paraId="39A205E5" w14:textId="77777777" w:rsidR="007B7E5B" w:rsidRPr="00495AC9" w:rsidRDefault="007B7E5B" w:rsidP="007B7E5B">
                      <w:pPr>
                        <w:ind w:left="720"/>
                        <w:rPr>
                          <w:rFonts w:ascii="Arial" w:hAnsi="Arial" w:cs="Arial"/>
                          <w:sz w:val="18"/>
                          <w:szCs w:val="18"/>
                        </w:rPr>
                      </w:pPr>
                      <w:r w:rsidRPr="00495AC9">
                        <w:rPr>
                          <w:rFonts w:ascii="Arial" w:hAnsi="Arial" w:cs="Arial"/>
                          <w:sz w:val="18"/>
                          <w:szCs w:val="18"/>
                        </w:rPr>
                        <w:t>Adaptado por: CIRCULAR LAB</w:t>
                      </w:r>
                      <w:r>
                        <w:rPr>
                          <w:rFonts w:ascii="Arial" w:hAnsi="Arial" w:cs="Arial"/>
                          <w:sz w:val="18"/>
                          <w:szCs w:val="18"/>
                        </w:rPr>
                        <w:t xml:space="preserve"> y CAMACOL.</w:t>
                      </w:r>
                    </w:p>
                    <w:p w14:paraId="17C906AC" w14:textId="77777777" w:rsidR="007B7E5B" w:rsidRDefault="007B7E5B" w:rsidP="007B7E5B"/>
                  </w:txbxContent>
                </v:textbox>
              </v:rect>
              <v:shape id="Graphic 3" o:spid="_x0000_s1029" style="position:absolute;left:-11144;top:-6858;width:3975;height:3639;visibility:visible;mso-wrap-style:square;v-text-anchor:top" coordsize="397510,36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" path="m397447,l,,,364133r397447,l397447,xe" fillcolor="#493cc3" stroked="f">
                <v:path arrowok="t"/>
              </v:shape>
              <w10:wrap anchorx="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5ED"/>
    <w:rsid w:val="000215ED"/>
    <w:rsid w:val="00341867"/>
    <w:rsid w:val="007344CD"/>
    <w:rsid w:val="007B75DC"/>
    <w:rsid w:val="007B7E5B"/>
    <w:rsid w:val="009120F2"/>
    <w:rsid w:val="00A2443E"/>
    <w:rsid w:val="00E025FE"/>
    <w:rsid w:val="00EF70BC"/>
    <w:rsid w:val="00F96D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E7C4C"/>
  <w15:chartTrackingRefBased/>
  <w15:docId w15:val="{199114FC-8F56-4810-B7AD-AE461F31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12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7E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7E5B"/>
  </w:style>
  <w:style w:type="paragraph" w:styleId="Piedepgina">
    <w:name w:val="footer"/>
    <w:basedOn w:val="Normal"/>
    <w:link w:val="PiedepginaCar"/>
    <w:uiPriority w:val="99"/>
    <w:unhideWhenUsed/>
    <w:rsid w:val="007B7E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7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36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D01E86E6A66C459F7AD72F0459B597" ma:contentTypeVersion="21" ma:contentTypeDescription="Create a new document." ma:contentTypeScope="" ma:versionID="b4eb27dd8ebd0bfe68ff7230a30fe6eb">
  <xsd:schema xmlns:xsd="http://www.w3.org/2001/XMLSchema" xmlns:xs="http://www.w3.org/2001/XMLSchema" xmlns:p="http://schemas.microsoft.com/office/2006/metadata/properties" xmlns:ns1="http://schemas.microsoft.com/sharepoint/v3" xmlns:ns2="59a0df5f-1171-4915-b64b-ea71ede19762" xmlns:ns3="3d9e9f98-b9b8-4ad4-881f-d737be12d7c9" targetNamespace="http://schemas.microsoft.com/office/2006/metadata/properties" ma:root="true" ma:fieldsID="2641e850071e603f377c316a9e06d7d0" ns1:_="" ns2:_="" ns3:_="">
    <xsd:import namespace="http://schemas.microsoft.com/sharepoint/v3"/>
    <xsd:import namespace="59a0df5f-1171-4915-b64b-ea71ede19762"/>
    <xsd:import namespace="3d9e9f98-b9b8-4ad4-881f-d737be12d7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LengthInSeconds" minOccurs="0"/>
                <xsd:element ref="ns2:MediaServiceSearchProperties" minOccurs="0"/>
                <xsd:element ref="ns2:MediaServiceLocation"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a0df5f-1171-4915-b64b-ea71ede19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acb3148-5304-4beb-92c5-86c952aca73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9e9f98-b9b8-4ad4-881f-d737be12d7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9bda88-6672-4094-96ed-1e22dfc7d807}" ma:internalName="TaxCatchAll" ma:showField="CatchAllData" ma:web="3d9e9f98-b9b8-4ad4-881f-d737be12d7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d9e9f98-b9b8-4ad4-881f-d737be12d7c9" xsi:nil="true"/>
    <lcf76f155ced4ddcb4097134ff3c332f xmlns="59a0df5f-1171-4915-b64b-ea71ede1976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59a0df5f-1171-4915-b64b-ea71ede19762" xsi:nil="true"/>
  </documentManagement>
</p:properties>
</file>

<file path=customXml/itemProps1.xml><?xml version="1.0" encoding="utf-8"?>
<ds:datastoreItem xmlns:ds="http://schemas.openxmlformats.org/officeDocument/2006/customXml" ds:itemID="{891F150C-2375-4FCF-AD83-A0773CCF1E8C}"/>
</file>

<file path=customXml/itemProps2.xml><?xml version="1.0" encoding="utf-8"?>
<ds:datastoreItem xmlns:ds="http://schemas.openxmlformats.org/officeDocument/2006/customXml" ds:itemID="{62C024CA-B1AB-42C5-8B31-E6C3BDFFA322}"/>
</file>

<file path=customXml/itemProps3.xml><?xml version="1.0" encoding="utf-8"?>
<ds:datastoreItem xmlns:ds="http://schemas.openxmlformats.org/officeDocument/2006/customXml" ds:itemID="{F991630B-20AC-40F9-9438-66E267BC1650}"/>
</file>

<file path=docProps/app.xml><?xml version="1.0" encoding="utf-8"?>
<Properties xmlns="http://schemas.openxmlformats.org/officeDocument/2006/extended-properties" xmlns:vt="http://schemas.openxmlformats.org/officeDocument/2006/docPropsVTypes">
  <Template>Normal</Template>
  <TotalTime>19</TotalTime>
  <Pages>3</Pages>
  <Words>800</Words>
  <Characters>4406</Characters>
  <Application>Microsoft Office Word</Application>
  <DocSecurity>0</DocSecurity>
  <Lines>36</Lines>
  <Paragraphs>10</Paragraphs>
  <ScaleCrop>false</ScaleCrop>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Gómez</dc:creator>
  <cp:keywords/>
  <dc:description/>
  <cp:lastModifiedBy>Vanessa Gómez</cp:lastModifiedBy>
  <cp:revision>6</cp:revision>
  <dcterms:created xsi:type="dcterms:W3CDTF">2024-05-08T21:46:00Z</dcterms:created>
  <dcterms:modified xsi:type="dcterms:W3CDTF">2024-05-23T20:15:00Z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0x010100B9D01E86E6A66C459F7AD72F0459B597</vt:lpwstr>
  </property>
  <property fmtid="{D5CDD505-2E9C-101B-9397-08002B2CF9AE}" pid="3" name="MediaServiceImageTags">
    <vt:lpwstr/>
  </property>
</Properties>
</file>